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57A4" w14:textId="44B36B64" w:rsidR="009E0DD4" w:rsidRPr="009E0DD4" w:rsidRDefault="00EB34E3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>BODOS Czechia a.s.</w:t>
      </w:r>
      <w:r w:rsidR="006F5274" w:rsidRPr="006F5274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, </w:t>
      </w:r>
      <w:r w:rsidR="003A38F8" w:rsidRPr="003A38F8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(dále </w:t>
      </w:r>
      <w:r w:rsidR="00C076B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jako</w:t>
      </w:r>
      <w:r w:rsidR="003A38F8" w:rsidRPr="003A38F8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povinný subjekt) 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 souladu se Směrnicí Evropského parlamentu a Rady (EU) 2019/1937 ze dne 23. října 2019 o ochraně osob, které oznamují porušení práva Unie (dále také jen </w:t>
      </w:r>
      <w:r w:rsidR="009E0DD4" w:rsidRPr="009E0DD4">
        <w:rPr>
          <w:rFonts w:ascii="Arial" w:eastAsia="Times New Roman" w:hAnsi="Arial" w:cs="Arial"/>
          <w:i/>
          <w:iCs/>
          <w:color w:val="1B1B1B"/>
          <w:kern w:val="0"/>
          <w:sz w:val="24"/>
          <w:szCs w:val="24"/>
          <w:lang w:eastAsia="cs-CZ"/>
          <w14:ligatures w14:val="none"/>
        </w:rPr>
        <w:t>„Směrnice“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)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a v souladu se z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ákon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em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č. 171/2023 Sb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 z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ákon o ochraně oznamovatelů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  <w:r w:rsidR="00EB0795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zři</w:t>
      </w:r>
      <w:r w:rsidR="00EB0795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zuje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vnitřní oznamovací systém, který je určen zaměstnancům a osobám v pracovním kontextu (dále jen </w:t>
      </w:r>
      <w:r w:rsidR="009E0DD4" w:rsidRPr="009E0DD4">
        <w:rPr>
          <w:rFonts w:ascii="Arial" w:eastAsia="Times New Roman" w:hAnsi="Arial" w:cs="Arial"/>
          <w:i/>
          <w:iCs/>
          <w:color w:val="1B1B1B"/>
          <w:kern w:val="0"/>
          <w:sz w:val="24"/>
          <w:szCs w:val="24"/>
          <w:lang w:eastAsia="cs-CZ"/>
          <w14:ligatures w14:val="none"/>
        </w:rPr>
        <w:t>„oznamovatelům“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), kteří se o protiprávním jednání dozvěděli v souvislosti s výkonem své pracovní činnosti a chtějí to oznámit.</w:t>
      </w:r>
    </w:p>
    <w:p w14:paraId="2A49142F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8"/>
          <w:szCs w:val="28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8"/>
          <w:szCs w:val="28"/>
          <w:lang w:eastAsia="cs-CZ"/>
          <w14:ligatures w14:val="none"/>
        </w:rPr>
        <w:t>Oznámení lze podat pouze příslušné osobě:</w:t>
      </w:r>
    </w:p>
    <w:p w14:paraId="50980E3D" w14:textId="62A2DB69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Příslušná osoba pro vnitřní oznamovací systém je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Ing. Milan Jandora,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tel: +420 602 553 813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746718B7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K podání oznámení může oznamovatel využít následující způsoby:</w:t>
      </w:r>
    </w:p>
    <w:p w14:paraId="63DB500F" w14:textId="0BA84C6C" w:rsidR="009E0DD4" w:rsidRPr="009E0DD4" w:rsidRDefault="00E05AA1" w:rsidP="00610499">
      <w:pPr>
        <w:numPr>
          <w:ilvl w:val="0"/>
          <w:numId w:val="1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-mailovou adresu </w:t>
      </w:r>
      <w:hyperlink r:id="rId7" w:history="1">
        <w:r w:rsidR="009E0DD4" w:rsidRPr="00227A2E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oznamovatel@edum.eu</w:t>
        </w:r>
      </w:hyperlink>
      <w:r w:rsidR="00EB0795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6F9B3C3E" w14:textId="043693E8" w:rsidR="009E0DD4" w:rsidRPr="009E0DD4" w:rsidRDefault="00E05AA1" w:rsidP="00610499">
      <w:pPr>
        <w:numPr>
          <w:ilvl w:val="0"/>
          <w:numId w:val="1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T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elefonní linku +420 602553813, v pracovních dnech od 8:00 do 17:00 hodin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31630CD6" w14:textId="129F7C4C" w:rsidR="009E0DD4" w:rsidRDefault="00E05AA1" w:rsidP="00610499">
      <w:pPr>
        <w:numPr>
          <w:ilvl w:val="0"/>
          <w:numId w:val="1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sobní jednání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(je třeba dohodnout s příslušnou osobou – Ing. Milan Jandora předem telefonicky na +420 602553813).</w:t>
      </w:r>
    </w:p>
    <w:p w14:paraId="716318AD" w14:textId="77777777" w:rsidR="00DF0C18" w:rsidRPr="00DF0C18" w:rsidRDefault="00EB34E3" w:rsidP="0061049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Písemně na adresu</w:t>
      </w:r>
      <w:r w:rsidR="00DF0C18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  <w:r w:rsidR="00DF0C18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ab/>
      </w:r>
      <w:r w:rsidRPr="00DF0C1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 xml:space="preserve">EDUM.EU s.r.o. </w:t>
      </w:r>
    </w:p>
    <w:p w14:paraId="303292C6" w14:textId="591763F8" w:rsidR="00EB34E3" w:rsidRPr="00DF0C18" w:rsidRDefault="00EB34E3" w:rsidP="00610499">
      <w:pPr>
        <w:spacing w:after="0" w:line="240" w:lineRule="auto"/>
        <w:ind w:left="3240" w:firstLine="300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</w:pPr>
      <w:r w:rsidRPr="00DF0C1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 xml:space="preserve">Ing. Milan Jandora </w:t>
      </w:r>
    </w:p>
    <w:p w14:paraId="1E703E2E" w14:textId="4B6ED0C6" w:rsidR="00DF0C18" w:rsidRPr="00DF0C18" w:rsidRDefault="00DF0C18" w:rsidP="00610499">
      <w:pPr>
        <w:spacing w:after="0" w:line="240" w:lineRule="auto"/>
        <w:ind w:left="3240" w:firstLine="300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</w:pPr>
      <w:r w:rsidRPr="00DF0C1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P.O. Box 16</w:t>
      </w:r>
    </w:p>
    <w:p w14:paraId="03D7ADA3" w14:textId="7FEF9A02" w:rsidR="00DF0C18" w:rsidRPr="00DF0C18" w:rsidRDefault="00DF0C18" w:rsidP="00610499">
      <w:pPr>
        <w:spacing w:after="0" w:line="240" w:lineRule="auto"/>
        <w:ind w:left="3240" w:firstLine="300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</w:pPr>
      <w:r w:rsidRPr="00DF0C1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793 95 Město Albrechtice</w:t>
      </w:r>
    </w:p>
    <w:p w14:paraId="25F10447" w14:textId="77777777" w:rsidR="00DF0C18" w:rsidRDefault="00DF0C18" w:rsidP="00610499">
      <w:pPr>
        <w:spacing w:after="0" w:line="240" w:lineRule="auto"/>
        <w:ind w:left="3240" w:firstLine="300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</w:p>
    <w:p w14:paraId="24C7CCE6" w14:textId="789DD467" w:rsidR="00DF0C18" w:rsidRPr="009E0DD4" w:rsidRDefault="00DF0C18" w:rsidP="00610499">
      <w:pPr>
        <w:spacing w:after="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ab/>
        <w:t xml:space="preserve">Přístup do </w:t>
      </w:r>
      <w:r w:rsidR="009B642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e-mailové adresy a 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P.O. Boxu má jen výše uvedená příslušná osoba</w:t>
      </w:r>
      <w:r w:rsidR="00832A8E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. Oznámení nelze </w:t>
      </w:r>
      <w:r w:rsidR="00687FA0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z důvodu ochrany oznamovatelů </w:t>
      </w:r>
      <w:r w:rsidR="00832A8E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podat jinými než výše uvedenými způsoby.</w:t>
      </w:r>
    </w:p>
    <w:p w14:paraId="3FF04063" w14:textId="77777777" w:rsidR="009E0DD4" w:rsidRPr="009E0DD4" w:rsidRDefault="009E0DD4" w:rsidP="00610499">
      <w:pPr>
        <w:spacing w:before="120"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Před oznámením si připravte a do písemného podání uveďte následující informace:</w:t>
      </w:r>
    </w:p>
    <w:p w14:paraId="7EE2FD36" w14:textId="7899EF82" w:rsidR="009E0DD4" w:rsidRPr="009E0DD4" w:rsidRDefault="009B6424" w:rsidP="00610499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J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méno a příjmení oznamovatele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65190C5B" w14:textId="63CB3F97" w:rsidR="009E0DD4" w:rsidRPr="009E0DD4" w:rsidRDefault="009B6424" w:rsidP="00610499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-mailovou adresu oznamovatele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0CFBF620" w14:textId="02809C1E" w:rsidR="009E0DD4" w:rsidRPr="009E0DD4" w:rsidRDefault="009B6424" w:rsidP="00610499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atum narození oznamovatele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391DCECA" w14:textId="00199179" w:rsidR="009E0DD4" w:rsidRPr="009E0DD4" w:rsidRDefault="009B6424" w:rsidP="00610499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T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elefonní číslo oznamovatele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4792F8D1" w14:textId="561B3FEB" w:rsidR="009E0DD4" w:rsidRPr="009E0DD4" w:rsidRDefault="00610499" w:rsidP="00610499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Po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štovní kontaktní adresu oznamovatele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6C60572B" w14:textId="36674D61" w:rsidR="009E0DD4" w:rsidRPr="009E0DD4" w:rsidRDefault="00610499" w:rsidP="00610499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T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ext oznámení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  <w:r w:rsidR="009B642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známení musí být určité a srozumitelné</w:t>
      </w:r>
      <w:r w:rsidR="009B642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  <w:r w:rsidR="009B642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oznámení musí být zřejmé, proti které </w:t>
      </w:r>
      <w:r w:rsidR="009B642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organizaci 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směřuje a jakého </w:t>
      </w:r>
      <w:r w:rsidR="009B642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protiprávního jednání a v jaké oblasti se dopustila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tak, aby bylo možné jej řádně prošetřit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46FD0661" w14:textId="7CF4091D" w:rsidR="009E0DD4" w:rsidRPr="009E0DD4" w:rsidRDefault="00610499" w:rsidP="00610499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řípadný důkazní materiál. Přiložte veškeré relevantní důkazy prokazující skutečnosti uvedené v oznámení. Povolené jsou následující typy souborů .png, .gif, .jpg, .doc, .xls, .ppt, .pdf, txt, .wav, .mp3, .mp4, docx, .mpg, .mov, .wmv, .7zip, .rar, .xls, .xlxs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Maximální velikost nahrávaných souborů je 10 MB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71266967" w14:textId="77777777" w:rsidR="00541FD2" w:rsidRDefault="00541FD2" w:rsidP="0061049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</w:pPr>
    </w:p>
    <w:p w14:paraId="73EA9785" w14:textId="5D1684C0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Oznámení lze učinit i anonymně.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Za anonymní je považováno takové oznámení, ve kterém oznamovatel neuvede své jméno, příjmení nebo jiné údaje, dle nichž by jej bylo možné identifikovat. Rovněž v případě anonymního oznámení je účelné sdělit telefonní číslo či e-</w:t>
      </w:r>
      <w:r w:rsidR="00E8162F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mailovou adresu, jejichž prostřednictvím se lze při zachování anonymity s oznamovatelem spojit. Nemožnost kontaktu s oznamovatelem může negativně ovlivnit prošetření oznámení a ochranu oznamovatele.</w:t>
      </w:r>
    </w:p>
    <w:p w14:paraId="143C3939" w14:textId="77777777" w:rsidR="00541FD2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Osobám, které oznamují protiprávní jednání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 xml:space="preserve">nesouvisející s agendou spadající do působnosti </w:t>
      </w:r>
      <w:r w:rsidR="003A38F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povinného subjektu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 nebo nemají důvěru k vnitřnímu oznamovacímu systému, je 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lastRenderedPageBreak/>
        <w:t>určen oznamovací systém Ministerstva spravedlnosti ČR dostupný na adrese </w:t>
      </w:r>
      <w:hyperlink r:id="rId8" w:history="1"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lang w:eastAsia="cs-CZ"/>
            <w14:ligatures w14:val="none"/>
          </w:rPr>
          <w:t>https://oznamovatel.justice.cz/chci-podat-oznameni/</w:t>
        </w:r>
      </w:hyperlink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09C3B2D2" w14:textId="5C22B551" w:rsidR="009E0DD4" w:rsidRPr="009E0DD4" w:rsidRDefault="003A38F8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ovinný subjekt dle zákona č. 171/2023 Sb., o ochraně oznamovatelů</w:t>
      </w:r>
      <w:r w:rsidR="00E8162F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v souladu s ustanovením § 9 odst. 2 písm. a) zákona o ochraně oznamovatelů vylučuje přijímání oznámení od osob, které nevykonávají pro </w:t>
      </w:r>
      <w:r w:rsidR="00EB0795" w:rsidRPr="00EB0795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povinný subjekt 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závislou práci v pracovněprávním vztahu, vojenskou, bezpečnostní nebo státní službu, dobrovolnickou činnost nebo odbornou praxi nebo stáž.</w:t>
      </w:r>
    </w:p>
    <w:p w14:paraId="33AFCC2D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Před podáním oznámení si ve vlastním zájmu řádně přečtěte níže uvedené „Informace pro oznamovatele před podáním oznámení“.</w:t>
      </w:r>
    </w:p>
    <w:p w14:paraId="7A38A26D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0070C0"/>
          <w:kern w:val="0"/>
          <w:sz w:val="28"/>
          <w:szCs w:val="28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cs-CZ"/>
          <w14:ligatures w14:val="none"/>
        </w:rPr>
        <w:t>Informace pro oznamovatele před podáním oznámení</w:t>
      </w:r>
    </w:p>
    <w:p w14:paraId="69BC25C2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Jaké povinnosti má oznamovatel? </w:t>
      </w:r>
    </w:p>
    <w:p w14:paraId="72016E8C" w14:textId="0148A93C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Oznamující osoba by vzhledem k okolnostem a informacím, které má k dispozici v době oznámení, měla mít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pádný důvod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se domnívat, že jí oznamované či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zveřejňované skutečnosti jsou autentické a pravdivé.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Nelze tedy oznamovat skutečnosti vědomě nepravdivé. Takovéto jednání může být dle § 345 zákona č. 40/2009 Sb., trestní zákoník, vnímáno jako křivé obvinění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a dle 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§ 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23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zákona č.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171/2023 Sb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 z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ákon o ochraně oznamovatelů 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udělena pokuta do 50 000 Kč.</w:t>
      </w:r>
    </w:p>
    <w:p w14:paraId="3BFAE05A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Při získávání dokladů dokládajících oznamované skutečnosti by se oznamovatel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neměl dopustit jednání, které by mohlo mít charakter trestného činu.</w:t>
      </w:r>
    </w:p>
    <w:p w14:paraId="227DC153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Oznamovatel by měl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jednat ve veřejném zájmu a v dobré víře, že jím podávané oznámení se opírá o věrohodná fakta a skutečnosti.</w:t>
      </w:r>
    </w:p>
    <w:p w14:paraId="4D6E64D1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Oznamovatel by měl být schopen určit, jaké oblasti se protiprávní jednání týká (viz níže), a promyslet, jaké ověřitelné informace o ohlašovaném protiprávním jednání může poskytnout. Rozsah a kvalita předkládaných informací mohou pozitivně ovlivnit způsob prošetření oznámení. Komplexní informace pro oznamovatele lze nalézt na: </w:t>
      </w:r>
      <w:hyperlink r:id="rId9" w:history="1"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lang w:eastAsia="cs-CZ"/>
            <w14:ligatures w14:val="none"/>
          </w:rPr>
          <w:t>https://oznamovatel.justice.cz/informace-pro-oznamova</w:t>
        </w:r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lang w:eastAsia="cs-CZ"/>
            <w14:ligatures w14:val="none"/>
          </w:rPr>
          <w:t>t</w:t>
        </w:r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lang w:eastAsia="cs-CZ"/>
            <w14:ligatures w14:val="none"/>
          </w:rPr>
          <w:t>ele/</w:t>
        </w:r>
      </w:hyperlink>
      <w:r w:rsidRPr="009E0DD4">
        <w:rPr>
          <w:rFonts w:ascii="Arial" w:eastAsia="Times New Roman" w:hAnsi="Arial" w:cs="Arial"/>
          <w:i/>
          <w:iCs/>
          <w:color w:val="1B1B1B"/>
          <w:kern w:val="0"/>
          <w:sz w:val="24"/>
          <w:szCs w:val="24"/>
          <w:lang w:eastAsia="cs-CZ"/>
          <w14:ligatures w14:val="none"/>
        </w:rPr>
        <w:t> .</w:t>
      </w:r>
    </w:p>
    <w:p w14:paraId="1F1E93B3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V jakých oblastech lze protiprávní jednání ohlásit?</w:t>
      </w:r>
    </w:p>
    <w:p w14:paraId="4F023CF0" w14:textId="320D4CF8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finančních služeb, povinného auditu a jiných ověřovacích služeb, finančních produktů a finančních trhů,</w:t>
      </w:r>
    </w:p>
    <w:p w14:paraId="30DC64B0" w14:textId="34CF3E2F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daně z příjmů právnických osob,</w:t>
      </w:r>
    </w:p>
    <w:p w14:paraId="75C26ADF" w14:textId="40C4A822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předcházení legalizaci výnosů z trestné činnosti a financování terorismu,</w:t>
      </w:r>
    </w:p>
    <w:p w14:paraId="737040A7" w14:textId="3F00B3A7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ochrany spotřebitele,</w:t>
      </w:r>
    </w:p>
    <w:p w14:paraId="5CE06661" w14:textId="19E6DCF7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souladu s požadavky na výrobky včetně jejich bezpečnosti,</w:t>
      </w:r>
    </w:p>
    <w:p w14:paraId="3788EE8C" w14:textId="01F93096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bezpečnosti dopravy, přepravy a provozu na pozemních komunikacích,</w:t>
      </w:r>
    </w:p>
    <w:p w14:paraId="4150591F" w14:textId="506A92CD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ochrany životního prostředí,</w:t>
      </w:r>
    </w:p>
    <w:p w14:paraId="08646E64" w14:textId="12050F4E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bezpečnosti potravin a krmiv a ochrany zvířat a jejich zdraví,</w:t>
      </w:r>
    </w:p>
    <w:p w14:paraId="5E3C01E5" w14:textId="578F3A55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radiační ochrany a jaderné bezpečnosti,</w:t>
      </w:r>
    </w:p>
    <w:p w14:paraId="06357805" w14:textId="1096D695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hospodářské soutěže, veřejných dražeb a zadávání veřejných zakázek,</w:t>
      </w:r>
    </w:p>
    <w:p w14:paraId="4F18F3FF" w14:textId="76BA3FDB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ochrany vnitřního pořádku a bezpečnosti, života a zdraví</w:t>
      </w:r>
      <w:r w:rsidR="0095461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</w:t>
      </w:r>
    </w:p>
    <w:p w14:paraId="64405288" w14:textId="60A825C0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ochrany osobních údajů, soukromí a bezpečnosti sítí elektronických komunikací a informačních systémů</w:t>
      </w:r>
      <w:r w:rsidR="0095461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4B6734D6" w14:textId="1B8695D1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lastRenderedPageBreak/>
        <w:t>ochrany finančních zájmů Evropské unie, nebo</w:t>
      </w:r>
    </w:p>
    <w:p w14:paraId="373855B3" w14:textId="0E8808F2" w:rsidR="00A21406" w:rsidRPr="00A21406" w:rsidRDefault="00A21406" w:rsidP="00A21406">
      <w:pPr>
        <w:pStyle w:val="Odstavecseseznamem"/>
        <w:numPr>
          <w:ilvl w:val="0"/>
          <w:numId w:val="5"/>
        </w:numPr>
        <w:spacing w:before="60" w:after="60" w:line="240" w:lineRule="auto"/>
        <w:ind w:left="851" w:hanging="491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fungování vnitřního trhu</w:t>
      </w: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, </w:t>
      </w:r>
      <w:r w:rsidRPr="00A2140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včetně ochrany hospodářské soutěže a státní podpory podle práva Evropské unie.</w:t>
      </w:r>
    </w:p>
    <w:p w14:paraId="42CB4C71" w14:textId="760BA14F" w:rsidR="009E0DD4" w:rsidRPr="009E0DD4" w:rsidRDefault="009E0DD4" w:rsidP="00A21406">
      <w:pPr>
        <w:spacing w:before="120"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 případě podezření ze spáchání trestného činu nespadajícího do výše uvedených oblastí se může oznamovatel obrátit na orgány činné v trestním řízení, tj. na Policii ČR nebo státní zastupitelství.</w:t>
      </w:r>
    </w:p>
    <w:p w14:paraId="0C405A07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oznamovatele</w:t>
      </w:r>
    </w:p>
    <w:p w14:paraId="1BCA8341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Na jakém právním základě je oznamovatelům poskytována ochrana a čeho by se oznámení měla týkat?   </w:t>
      </w:r>
    </w:p>
    <w:p w14:paraId="431A1DBE" w14:textId="18256148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Ochrana oznamovatelů je s účinností od 17.12.2021 poskytována na základě Směrnice Evropského parlamentu a Rady 2019/1937 o ochraně osob, které oznamují porušení úprava Unie</w:t>
      </w:r>
      <w:r w:rsidR="0073263C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,  </w:t>
      </w:r>
      <w:hyperlink r:id="rId10" w:history="1">
        <w:r w:rsidR="0073263C" w:rsidRPr="0028159F">
          <w:rPr>
            <w:rStyle w:val="Hypertextovodkaz"/>
            <w:rFonts w:ascii="Arial" w:eastAsia="Times New Roman" w:hAnsi="Arial" w:cs="Arial"/>
            <w:b/>
            <w:bCs/>
            <w:kern w:val="0"/>
            <w:sz w:val="24"/>
            <w:szCs w:val="24"/>
            <w:lang w:eastAsia="cs-CZ"/>
            <w14:ligatures w14:val="none"/>
          </w:rPr>
          <w:t>https://eur-lex.europa.eu/legal-content/CS/TXT/?uri</w:t>
        </w:r>
        <w:r w:rsidR="0073263C" w:rsidRPr="0028159F">
          <w:rPr>
            <w:rStyle w:val="Hypertextovodkaz"/>
            <w:rFonts w:ascii="Arial" w:eastAsia="Times New Roman" w:hAnsi="Arial" w:cs="Arial"/>
            <w:b/>
            <w:bCs/>
            <w:kern w:val="0"/>
            <w:sz w:val="24"/>
            <w:szCs w:val="24"/>
            <w:lang w:eastAsia="cs-CZ"/>
            <w14:ligatures w14:val="none"/>
          </w:rPr>
          <w:t>=</w:t>
        </w:r>
        <w:r w:rsidR="0073263C" w:rsidRPr="0028159F">
          <w:rPr>
            <w:rStyle w:val="Hypertextovodkaz"/>
            <w:rFonts w:ascii="Arial" w:eastAsia="Times New Roman" w:hAnsi="Arial" w:cs="Arial"/>
            <w:b/>
            <w:bCs/>
            <w:kern w:val="0"/>
            <w:sz w:val="24"/>
            <w:szCs w:val="24"/>
            <w:lang w:eastAsia="cs-CZ"/>
            <w14:ligatures w14:val="none"/>
          </w:rPr>
          <w:t>CELEX:32019L1937</w:t>
        </w:r>
      </w:hyperlink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 Český předpis, zákon č. 171/2023 Sb., o ochraně oznamovatelů, který tuto Směrnici zpracovává, naleznete na </w:t>
      </w:r>
      <w:hyperlink r:id="rId11" w:history="1"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u w:val="single"/>
            <w:lang w:eastAsia="cs-CZ"/>
            <w14:ligatures w14:val="none"/>
          </w:rPr>
          <w:t>https://www.zakonyprolidi</w:t>
        </w:r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u w:val="single"/>
            <w:lang w:eastAsia="cs-CZ"/>
            <w14:ligatures w14:val="none"/>
          </w:rPr>
          <w:t>.</w:t>
        </w:r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u w:val="single"/>
            <w:lang w:eastAsia="cs-CZ"/>
            <w14:ligatures w14:val="none"/>
          </w:rPr>
          <w:t>cz/cs/2023-171</w:t>
        </w:r>
      </w:hyperlink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5BF3E6A7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Kdo je oznamovatel a komu je poskytována ochrana?</w:t>
      </w:r>
    </w:p>
    <w:p w14:paraId="36E46C56" w14:textId="7AE63278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Ochrana není omezena pouze na oznamovatele, kteří získali informace pro podání oznámení v rámci svého pracovněprávního vztahu, ale také na osoby samostatně výdělečně činné, společníky, osoby ve statutárních, řídících nebo dozorčích orgánech, dobrovolníky, stážisty a osoby vykonávající činnost na základě smlouvy o poskytování dodávek, služeb, stavebních prací nebo jiné obdobné smlouvy</w:t>
      </w:r>
      <w:r w:rsidR="003A38F8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s povinným subjektem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. Ochrana se vztahuje rovněž na oznamovatele, kteří se o takovou činnost teprve ucházejí nebo ucházeli. Chráněny jsou i osoby, které jsou ve vztahu k oznamovatelům osobami blízkými, osoby, které oznámení umožnily nebo usnadnily, a dále osoby, které jsou s oznamovateli 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s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pojeny v pracovním kontextu.</w:t>
      </w:r>
    </w:p>
    <w:p w14:paraId="741CE6A5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 je chráněna identita oznamovatele?</w:t>
      </w:r>
    </w:p>
    <w:p w14:paraId="13C94C1E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Do oznámení má přístup pouze výše uvedená „</w:t>
      </w:r>
      <w:r w:rsidRPr="0073263C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příslušná osoba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“, která má povinnost vždy chránit identitu oznamovatele. Totožnost oznamující osoby nesmí být sdělena bez jejího výslovného souhlasu nikomu dalšímu.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Povinnost zachovávat důvěrnost se netýká pouze totožnosti oznamující osoby, ale vztahuje i na jakékoli další informace, z nichž by bylo možné přímo či nepřímo určit její identitu.  </w:t>
      </w:r>
    </w:p>
    <w:p w14:paraId="2C79DE43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Jediná situace, kdy zveřejnění totožnosti oznamovatele není podmíněno jeho předchozím souhlasem, může nastat tehdy, když odhalení jeho totožnosti bude nezbytné pro orgány činné v trestním řízení. V tomto případě ovšem oznamující osoby musí být o zveřejnění jejich totožnosti informovány před tím, než k němu dojde, ledaže by tyto informace ohrozily související vyšetřování nebo soudní řízení. Při informování oznamujících osob o postoupení jejich identity (např. Policii ČR) jim příslušné orgány zašlou písemné odůvodnění.</w:t>
      </w:r>
    </w:p>
    <w:p w14:paraId="5A506F21" w14:textId="77777777" w:rsidR="009E0DD4" w:rsidRPr="009E0DD4" w:rsidRDefault="009E0DD4" w:rsidP="00610499">
      <w:pPr>
        <w:keepNext/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oznamovatelů před odvetnými opatřeními</w:t>
      </w:r>
    </w:p>
    <w:p w14:paraId="5AC42711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Právní řád nepřipouští žádná zákonná odvetná opatření za oznámení protiprávního jednání, a naopak chrání oznamovatele. Zaměstnavatel, pro kterého oznamovatel vykonává práci nebo jinou obdobnou činnost,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je povinen zabránit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jakýmkoliv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odvetným opatřením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 vůči oznamovatelům protiprávního jednání, včetně hrozby odvetných opatření nebo pokusů o ně. 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lastRenderedPageBreak/>
        <w:t>Osoba, pro kterou oznamovatel vykonává práci nebo jinou obdobnou činnost, je povinna zabránit tomu, aby oznamovatel byl vystaven odvetnému opatření, kterým se rozumí jednání v souvislosti s prací nebo jinou obdobnou činností oznamovatele, které bylo vyvoláno oznámením a které oznamovateli může způsobit újmu. Za splnění těchto podmínek může být za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odvetné opatření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považováno zejména:</w:t>
      </w:r>
    </w:p>
    <w:p w14:paraId="7E00C225" w14:textId="2056565D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rozvázání pracovního poměru nebo neprodloužení pracovního poměru na dobu určitou,</w:t>
      </w:r>
    </w:p>
    <w:p w14:paraId="6B315550" w14:textId="5BB623C7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zproštění výkonu služby, zařazení mimo výkon služby nebo skončení služebního poměru,</w:t>
      </w:r>
    </w:p>
    <w:p w14:paraId="2661490B" w14:textId="1C813307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zrušení právního vztahu založeného dohodou o provedení práce nebo dohodou o pracovní činnosti,</w:t>
      </w:r>
    </w:p>
    <w:p w14:paraId="7E3429B8" w14:textId="261E4205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odvolání z místa vedoucího zaměstnance nebo ze služebního místa představeného,</w:t>
      </w:r>
    </w:p>
    <w:p w14:paraId="2D8F84DA" w14:textId="2232E63D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uložení kárného opatření nebo kázeňského trestu,</w:t>
      </w:r>
    </w:p>
    <w:p w14:paraId="6F1CA69B" w14:textId="6C2E860E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snížení mzdy, platu nebo odměny nebo nepřiznání osobního příplatku,</w:t>
      </w:r>
    </w:p>
    <w:p w14:paraId="1692D419" w14:textId="4C87FE5B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přeložení nebo převedení na jinou práci nebo na jiné služební místo,</w:t>
      </w:r>
    </w:p>
    <w:p w14:paraId="2DB73368" w14:textId="69901FA9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služební hodnocení nebo pracovní posudek,</w:t>
      </w:r>
    </w:p>
    <w:p w14:paraId="5C940469" w14:textId="0A90AF37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neumožnění odborného rozvoje,</w:t>
      </w:r>
    </w:p>
    <w:p w14:paraId="280E6101" w14:textId="5B3D774D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změna pracovní nebo služební doby,</w:t>
      </w:r>
    </w:p>
    <w:p w14:paraId="47316510" w14:textId="5D824D2F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vyžadování lékařského posudku nebo pracovnělékařské prohlídky,</w:t>
      </w:r>
    </w:p>
    <w:p w14:paraId="4D951FF9" w14:textId="34EDD7FB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výpověď nebo odstoupení od smlouvy, nebo</w:t>
      </w:r>
    </w:p>
    <w:p w14:paraId="1B87C63F" w14:textId="1BC24288" w:rsidR="00BF54CA" w:rsidRPr="00BF54CA" w:rsidRDefault="00BF54CA" w:rsidP="00BF54CA">
      <w:pPr>
        <w:pStyle w:val="Odstavecseseznamem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BF54C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zásah do práva na ochranu osobnosti.</w:t>
      </w:r>
    </w:p>
    <w:p w14:paraId="4A3F0D59" w14:textId="1A4671C8" w:rsidR="009E0DD4" w:rsidRPr="009E0DD4" w:rsidRDefault="009E0DD4" w:rsidP="00BF54CA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Oznamovatel má právo na přiměřené zadostiučinění, bylo-li mu odvetným opatřením způsobena výše uvedená újma. </w:t>
      </w:r>
      <w:r w:rsidRPr="00F2190F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Práva na ochranu před odvetným opatřením se nelze vzdát.</w:t>
      </w:r>
    </w:p>
    <w:p w14:paraId="6FEFEDED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cs-CZ"/>
          <w14:ligatures w14:val="none"/>
        </w:rPr>
        <w:t>Jak probíhá prošetření oznámení</w:t>
      </w:r>
    </w:p>
    <w:p w14:paraId="6287967B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 rychle bude oznámení vyřízeno?</w:t>
      </w:r>
    </w:p>
    <w:p w14:paraId="06A4D06B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Do 7 kalendářních dnů oznamovatel obdrží potvrzení, že oznámení bylo přijato, a nejpozději do 3 měsíců od zaslání potvrzení obdrží vyrozumění o vyřízení oznámení. V případě, že oznámení bude vyhodnoceno jako neodůvodněné nebo nepravdivé, bude oznamovatel informován neprodleně.</w:t>
      </w:r>
    </w:p>
    <w:p w14:paraId="7BDC4347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 bude oznámení prošetřováno? </w:t>
      </w:r>
    </w:p>
    <w:p w14:paraId="4C0DF3A7" w14:textId="77777777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Po přijetí oznámení bude vždy posuzována důvodnost podaného oznámení a v případě, že je oznámení vyhodnoceno jako odůvodněné, budou organizaci či právnické osobě, které se oznámení týká, doporučena opatření k nápravě nebo předejití protiprávnímu stavu. V odůvodněných případech mohou být závěry prošetření postoupeny také jako podnět orgánům činným v trestním řízení nebo inspektorátům práce.</w:t>
      </w:r>
    </w:p>
    <w:p w14:paraId="676C38AC" w14:textId="6B2EEE65" w:rsidR="009E0DD4" w:rsidRPr="009E0DD4" w:rsidRDefault="009E0DD4" w:rsidP="00610499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Oznámení bude v rámci vnitřního oznamovacího systému přiděleno pouze „</w:t>
      </w:r>
      <w:r w:rsidRPr="00F2190F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příslušné osobě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“, která bude mít povinnost oznámení v stanovené lhůtě zpracovat a o výsledku prošetření vždy vyrozumět oznamovatele.</w:t>
      </w:r>
      <w:r w:rsidR="00B7738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2D35E66" w14:textId="77777777" w:rsidR="00DF30F4" w:rsidRDefault="00DF30F4" w:rsidP="00610499"/>
    <w:sectPr w:rsidR="00DF30F4" w:rsidSect="00DC346A">
      <w:headerReference w:type="default" r:id="rId12"/>
      <w:footerReference w:type="default" r:id="rId13"/>
      <w:pgSz w:w="11906" w:h="16838"/>
      <w:pgMar w:top="993" w:right="849" w:bottom="1417" w:left="993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84D3" w14:textId="77777777" w:rsidR="001B732C" w:rsidRDefault="001B732C" w:rsidP="00DC346A">
      <w:pPr>
        <w:spacing w:after="0" w:line="240" w:lineRule="auto"/>
      </w:pPr>
      <w:r>
        <w:separator/>
      </w:r>
    </w:p>
  </w:endnote>
  <w:endnote w:type="continuationSeparator" w:id="0">
    <w:p w14:paraId="2ADB4898" w14:textId="77777777" w:rsidR="001B732C" w:rsidRDefault="001B732C" w:rsidP="00DC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86065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528412929"/>
          <w:docPartObj>
            <w:docPartGallery w:val="Page Numbers (Bottom of Page)"/>
            <w:docPartUnique/>
          </w:docPartObj>
        </w:sdtPr>
        <w:sdtContent>
          <w:bookmarkStart w:id="0" w:name="_Hlk146883326" w:displacedByCustomXml="prev"/>
          <w:p w14:paraId="1B693821" w14:textId="6DE8B1B6" w:rsidR="00DC346A" w:rsidRPr="00D9372E" w:rsidRDefault="00EB34E3" w:rsidP="00DC346A">
            <w:pPr>
              <w:pStyle w:val="Zpat"/>
              <w:rPr>
                <w:sz w:val="18"/>
                <w:szCs w:val="18"/>
              </w:rPr>
            </w:pPr>
            <w:r w:rsidRPr="001E45E8">
              <w:rPr>
                <w:sz w:val="16"/>
                <w:szCs w:val="16"/>
              </w:rPr>
              <w:t xml:space="preserve">© EDUM.EU s.ro ARATEC </w:t>
            </w:r>
            <w:r w:rsidR="00454332">
              <w:rPr>
                <w:sz w:val="16"/>
                <w:szCs w:val="16"/>
              </w:rPr>
              <w:t>a.s.</w:t>
            </w:r>
            <w:r w:rsidRPr="001E45E8">
              <w:rPr>
                <w:sz w:val="16"/>
                <w:szCs w:val="16"/>
              </w:rPr>
              <w:t xml:space="preserve"> pro BODOS Czechia a.s.– chráněno prvky Steganografie</w:t>
            </w:r>
            <w:bookmarkEnd w:id="0"/>
            <w:r w:rsidR="00DC346A" w:rsidRPr="00FB3D78">
              <w:rPr>
                <w:sz w:val="18"/>
                <w:szCs w:val="18"/>
              </w:rPr>
              <w:tab/>
              <w:t xml:space="preserve">strana </w:t>
            </w:r>
            <w:r w:rsidR="00DC346A" w:rsidRPr="00FB3D78">
              <w:fldChar w:fldCharType="begin"/>
            </w:r>
            <w:r w:rsidR="00DC346A" w:rsidRPr="00FB3D78">
              <w:instrText>PAGE   \* MERGEFORMAT</w:instrText>
            </w:r>
            <w:r w:rsidR="00DC346A" w:rsidRPr="00FB3D78">
              <w:fldChar w:fldCharType="separate"/>
            </w:r>
            <w:r w:rsidR="00DC346A">
              <w:t>1</w:t>
            </w:r>
            <w:r w:rsidR="00DC346A" w:rsidRPr="00FB3D78">
              <w:fldChar w:fldCharType="end"/>
            </w:r>
            <w:r w:rsidR="00DC346A" w:rsidRPr="00FB3D78">
              <w:t>/</w:t>
            </w:r>
            <w:r w:rsidR="00DC346A" w:rsidRPr="00FB3D78">
              <w:rPr>
                <w:noProof/>
              </w:rPr>
              <w:fldChar w:fldCharType="begin"/>
            </w:r>
            <w:r w:rsidR="00DC346A" w:rsidRPr="00FB3D78">
              <w:rPr>
                <w:noProof/>
              </w:rPr>
              <w:instrText>NUMPAGES \* MERGEFORMAT</w:instrText>
            </w:r>
            <w:r w:rsidR="00DC346A" w:rsidRPr="00FB3D78">
              <w:rPr>
                <w:noProof/>
              </w:rPr>
              <w:fldChar w:fldCharType="separate"/>
            </w:r>
            <w:r w:rsidR="00DC346A">
              <w:rPr>
                <w:noProof/>
              </w:rPr>
              <w:t>5</w:t>
            </w:r>
            <w:r w:rsidR="00DC346A" w:rsidRPr="00FB3D78">
              <w:rPr>
                <w:noProof/>
              </w:rPr>
              <w:fldChar w:fldCharType="end"/>
            </w:r>
          </w:p>
        </w:sdtContent>
      </w:sdt>
      <w:p w14:paraId="29FBC3B5" w14:textId="11BAD52D" w:rsidR="00DC346A" w:rsidRDefault="00000000" w:rsidP="00DC346A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975D" w14:textId="77777777" w:rsidR="001B732C" w:rsidRDefault="001B732C" w:rsidP="00DC346A">
      <w:pPr>
        <w:spacing w:after="0" w:line="240" w:lineRule="auto"/>
      </w:pPr>
      <w:r>
        <w:separator/>
      </w:r>
    </w:p>
  </w:footnote>
  <w:footnote w:type="continuationSeparator" w:id="0">
    <w:p w14:paraId="47F13756" w14:textId="77777777" w:rsidR="001B732C" w:rsidRDefault="001B732C" w:rsidP="00DC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1B2D" w14:textId="6B1E5C05" w:rsidR="00DC346A" w:rsidRDefault="00DC346A" w:rsidP="00DC346A">
    <w:pPr>
      <w:pStyle w:val="Zhlav"/>
      <w:jc w:val="center"/>
    </w:pPr>
    <w:r>
      <w:t>Ochrana Oznamovatelů – Informace na webové stránky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3E7"/>
    <w:multiLevelType w:val="multilevel"/>
    <w:tmpl w:val="252E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7B3B"/>
    <w:multiLevelType w:val="multilevel"/>
    <w:tmpl w:val="943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113A1"/>
    <w:multiLevelType w:val="multilevel"/>
    <w:tmpl w:val="813C5524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766321"/>
    <w:multiLevelType w:val="multilevel"/>
    <w:tmpl w:val="605E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D57A1"/>
    <w:multiLevelType w:val="multilevel"/>
    <w:tmpl w:val="69DC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71DB6"/>
    <w:multiLevelType w:val="hybridMultilevel"/>
    <w:tmpl w:val="E856C590"/>
    <w:lvl w:ilvl="0" w:tplc="BA4695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70B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0478C1"/>
    <w:multiLevelType w:val="hybridMultilevel"/>
    <w:tmpl w:val="68724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92660">
    <w:abstractNumId w:val="4"/>
  </w:num>
  <w:num w:numId="2" w16cid:durableId="846019086">
    <w:abstractNumId w:val="0"/>
  </w:num>
  <w:num w:numId="3" w16cid:durableId="2099128771">
    <w:abstractNumId w:val="1"/>
  </w:num>
  <w:num w:numId="4" w16cid:durableId="1264993856">
    <w:abstractNumId w:val="3"/>
  </w:num>
  <w:num w:numId="5" w16cid:durableId="2138644340">
    <w:abstractNumId w:val="5"/>
  </w:num>
  <w:num w:numId="6" w16cid:durableId="125049275">
    <w:abstractNumId w:val="6"/>
  </w:num>
  <w:num w:numId="7" w16cid:durableId="1049188946">
    <w:abstractNumId w:val="7"/>
  </w:num>
  <w:num w:numId="8" w16cid:durableId="99091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D4"/>
    <w:rsid w:val="00015C40"/>
    <w:rsid w:val="000A50DB"/>
    <w:rsid w:val="00171FB3"/>
    <w:rsid w:val="00187B40"/>
    <w:rsid w:val="00190A55"/>
    <w:rsid w:val="001B732C"/>
    <w:rsid w:val="001C3F65"/>
    <w:rsid w:val="00206A49"/>
    <w:rsid w:val="0022331E"/>
    <w:rsid w:val="0023024B"/>
    <w:rsid w:val="0024634B"/>
    <w:rsid w:val="002600AC"/>
    <w:rsid w:val="00261070"/>
    <w:rsid w:val="002C1DCD"/>
    <w:rsid w:val="00334F91"/>
    <w:rsid w:val="00367595"/>
    <w:rsid w:val="003A38F8"/>
    <w:rsid w:val="003F7CAE"/>
    <w:rsid w:val="00454332"/>
    <w:rsid w:val="00462388"/>
    <w:rsid w:val="00531CF2"/>
    <w:rsid w:val="00541FD2"/>
    <w:rsid w:val="00551B5B"/>
    <w:rsid w:val="00585B4F"/>
    <w:rsid w:val="00596D84"/>
    <w:rsid w:val="005C567D"/>
    <w:rsid w:val="005E7E96"/>
    <w:rsid w:val="00610499"/>
    <w:rsid w:val="00653106"/>
    <w:rsid w:val="00687FA0"/>
    <w:rsid w:val="006F5274"/>
    <w:rsid w:val="006F6A5F"/>
    <w:rsid w:val="007020C4"/>
    <w:rsid w:val="007065B2"/>
    <w:rsid w:val="0073263C"/>
    <w:rsid w:val="00735B99"/>
    <w:rsid w:val="00747C67"/>
    <w:rsid w:val="00782467"/>
    <w:rsid w:val="00790C66"/>
    <w:rsid w:val="007E6CFD"/>
    <w:rsid w:val="0080122A"/>
    <w:rsid w:val="00832A8E"/>
    <w:rsid w:val="00885E46"/>
    <w:rsid w:val="008C755C"/>
    <w:rsid w:val="008E7E45"/>
    <w:rsid w:val="009155B9"/>
    <w:rsid w:val="00954614"/>
    <w:rsid w:val="009B6424"/>
    <w:rsid w:val="009C2A36"/>
    <w:rsid w:val="009D185C"/>
    <w:rsid w:val="009D29D7"/>
    <w:rsid w:val="009E0DD4"/>
    <w:rsid w:val="00A21406"/>
    <w:rsid w:val="00A960BB"/>
    <w:rsid w:val="00AC7E1A"/>
    <w:rsid w:val="00AF2DCC"/>
    <w:rsid w:val="00AF39EA"/>
    <w:rsid w:val="00B12CFB"/>
    <w:rsid w:val="00B53DBC"/>
    <w:rsid w:val="00B77386"/>
    <w:rsid w:val="00B77BDB"/>
    <w:rsid w:val="00B8482D"/>
    <w:rsid w:val="00BF54CA"/>
    <w:rsid w:val="00C05D1E"/>
    <w:rsid w:val="00C076B6"/>
    <w:rsid w:val="00C13FF8"/>
    <w:rsid w:val="00CC2BC6"/>
    <w:rsid w:val="00CD7363"/>
    <w:rsid w:val="00CF2E94"/>
    <w:rsid w:val="00D231A6"/>
    <w:rsid w:val="00DC346A"/>
    <w:rsid w:val="00DC5B85"/>
    <w:rsid w:val="00DF0C18"/>
    <w:rsid w:val="00DF30F4"/>
    <w:rsid w:val="00E05AA1"/>
    <w:rsid w:val="00E8162F"/>
    <w:rsid w:val="00EB0795"/>
    <w:rsid w:val="00EB34E3"/>
    <w:rsid w:val="00F2190F"/>
    <w:rsid w:val="00F7124D"/>
    <w:rsid w:val="00F815A7"/>
    <w:rsid w:val="00F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BDD2"/>
  <w15:chartTrackingRefBased/>
  <w15:docId w15:val="{6ACDEF26-E06F-4AAF-9B6A-4BA48CDD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9E0DD4"/>
    <w:rPr>
      <w:i/>
      <w:iCs/>
    </w:rPr>
  </w:style>
  <w:style w:type="character" w:styleId="Siln">
    <w:name w:val="Strong"/>
    <w:basedOn w:val="Standardnpsmoodstavce"/>
    <w:uiPriority w:val="22"/>
    <w:qFormat/>
    <w:rsid w:val="009E0DD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E0DD4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9E0DD4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9E0DD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C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46A"/>
  </w:style>
  <w:style w:type="paragraph" w:styleId="Zpat">
    <w:name w:val="footer"/>
    <w:basedOn w:val="Normln"/>
    <w:link w:val="ZpatChar"/>
    <w:uiPriority w:val="99"/>
    <w:unhideWhenUsed/>
    <w:rsid w:val="00DC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46A"/>
  </w:style>
  <w:style w:type="character" w:styleId="Sledovanodkaz">
    <w:name w:val="FollowedHyperlink"/>
    <w:basedOn w:val="Standardnpsmoodstavce"/>
    <w:uiPriority w:val="99"/>
    <w:semiHidden/>
    <w:unhideWhenUsed/>
    <w:rsid w:val="0073263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2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chci-podat-oznamen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znamovatel@edum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yprolidi.cz/cs/2023-1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CS/TXT/?uri=CELEX:32019L1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namovatel.justice.cz/informace-pro-oznamovate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1557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Jandora</dc:creator>
  <cp:keywords/>
  <dc:description/>
  <cp:lastModifiedBy>Milan Jandora</cp:lastModifiedBy>
  <cp:revision>8</cp:revision>
  <cp:lastPrinted>2023-11-30T09:09:00Z</cp:lastPrinted>
  <dcterms:created xsi:type="dcterms:W3CDTF">2023-10-11T07:39:00Z</dcterms:created>
  <dcterms:modified xsi:type="dcterms:W3CDTF">2023-12-01T08:31:00Z</dcterms:modified>
</cp:coreProperties>
</file>